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4D1C" w14:textId="64DE106F" w:rsidR="005819D3" w:rsidRPr="00564781" w:rsidRDefault="00564781" w:rsidP="00564781">
      <w:pPr>
        <w:jc w:val="right"/>
        <w:rPr>
          <w:color w:val="156082" w:themeColor="accent1"/>
        </w:rPr>
      </w:pPr>
      <w:r w:rsidRPr="00564781">
        <w:rPr>
          <w:noProof/>
          <w:color w:val="156082" w:themeColor="accent1"/>
        </w:rPr>
        <w:drawing>
          <wp:inline distT="0" distB="0" distL="0" distR="0" wp14:anchorId="156A3921" wp14:editId="75707B36">
            <wp:extent cx="1641042" cy="996950"/>
            <wp:effectExtent l="0" t="0" r="0" b="0"/>
            <wp:docPr id="152429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0013" cy="1008475"/>
                    </a:xfrm>
                    <a:prstGeom prst="rect">
                      <a:avLst/>
                    </a:prstGeom>
                    <a:noFill/>
                    <a:ln>
                      <a:noFill/>
                    </a:ln>
                  </pic:spPr>
                </pic:pic>
              </a:graphicData>
            </a:graphic>
          </wp:inline>
        </w:drawing>
      </w:r>
      <w:r w:rsidR="00DA67DD" w:rsidRPr="00564781">
        <w:rPr>
          <w:color w:val="156082" w:themeColor="accent1"/>
        </w:rPr>
        <w:t> </w:t>
      </w:r>
      <w:r w:rsidRPr="00564781">
        <w:rPr>
          <w:noProof/>
          <w:color w:val="156082" w:themeColor="accent1"/>
        </w:rPr>
        <w:drawing>
          <wp:inline distT="0" distB="0" distL="0" distR="0" wp14:anchorId="36295A1A" wp14:editId="76DF2D3C">
            <wp:extent cx="1897380" cy="845820"/>
            <wp:effectExtent l="0" t="0" r="7620" b="0"/>
            <wp:docPr id="1407275368" name="Picture 1" descr="A logo for a colleg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98592" cy="846360"/>
                    </a:xfrm>
                    <a:prstGeom prst="rect">
                      <a:avLst/>
                    </a:prstGeom>
                    <a:noFill/>
                    <a:ln>
                      <a:noFill/>
                      <a:prstDash/>
                    </a:ln>
                  </pic:spPr>
                </pic:pic>
              </a:graphicData>
            </a:graphic>
          </wp:inline>
        </w:drawing>
      </w:r>
    </w:p>
    <w:p w14:paraId="48D106A9" w14:textId="77777777" w:rsidR="005819D3" w:rsidRPr="00564781" w:rsidRDefault="00DA67DD">
      <w:pPr>
        <w:rPr>
          <w:color w:val="156082" w:themeColor="accent1"/>
        </w:rPr>
      </w:pPr>
      <w:r w:rsidRPr="00564781">
        <w:rPr>
          <w:color w:val="156082" w:themeColor="accent1"/>
        </w:rPr>
        <w:t>  </w:t>
      </w:r>
    </w:p>
    <w:p w14:paraId="15F952EB" w14:textId="77777777" w:rsidR="005819D3" w:rsidRPr="00564781" w:rsidRDefault="00DA67DD">
      <w:pPr>
        <w:rPr>
          <w:color w:val="156082" w:themeColor="accent1"/>
        </w:rPr>
      </w:pPr>
      <w:r w:rsidRPr="00564781">
        <w:rPr>
          <w:b/>
          <w:bCs/>
          <w:color w:val="156082" w:themeColor="accent1"/>
          <w:sz w:val="28"/>
          <w:szCs w:val="28"/>
          <w:u w:val="single"/>
        </w:rPr>
        <w:t>Royal College of Physicians of Edinburgh/College of Physicians of Malaysia – Tuanku Muhriz Ibni Almarhum Tuanku Munawir Fellowship Travelling Fellowship (Malaysia to Edinburgh) </w:t>
      </w:r>
      <w:r w:rsidRPr="00564781">
        <w:rPr>
          <w:color w:val="156082" w:themeColor="accent1"/>
          <w:sz w:val="28"/>
          <w:szCs w:val="28"/>
        </w:rPr>
        <w:t> </w:t>
      </w:r>
    </w:p>
    <w:p w14:paraId="18EECCD4" w14:textId="77777777" w:rsidR="005819D3" w:rsidRPr="00564781" w:rsidRDefault="00DA67DD">
      <w:pPr>
        <w:rPr>
          <w:color w:val="156082" w:themeColor="accent1"/>
        </w:rPr>
      </w:pPr>
      <w:r w:rsidRPr="00564781">
        <w:rPr>
          <w:color w:val="156082" w:themeColor="accent1"/>
        </w:rPr>
        <w:t> </w:t>
      </w:r>
    </w:p>
    <w:p w14:paraId="1C34911F" w14:textId="77777777" w:rsidR="005819D3" w:rsidRPr="00564781" w:rsidRDefault="00DA67DD">
      <w:pPr>
        <w:rPr>
          <w:color w:val="156082" w:themeColor="accent1"/>
        </w:rPr>
      </w:pPr>
      <w:r w:rsidRPr="00564781">
        <w:rPr>
          <w:b/>
          <w:bCs/>
          <w:color w:val="156082" w:themeColor="accent1"/>
          <w:u w:val="single"/>
        </w:rPr>
        <w:t>Terms and Conditions</w:t>
      </w:r>
      <w:r w:rsidRPr="00564781">
        <w:rPr>
          <w:color w:val="156082" w:themeColor="accent1"/>
        </w:rPr>
        <w:t> </w:t>
      </w:r>
    </w:p>
    <w:p w14:paraId="09C83009" w14:textId="5E928421" w:rsidR="00CD5594" w:rsidRPr="00564781" w:rsidRDefault="00CD5594" w:rsidP="00CD5594">
      <w:pPr>
        <w:rPr>
          <w:rFonts w:eastAsia="Times New Roman" w:cs="Calibri"/>
          <w:color w:val="156082" w:themeColor="accent1"/>
          <w:lang w:eastAsia="en-GB"/>
        </w:rPr>
      </w:pPr>
      <w:r w:rsidRPr="00564781">
        <w:rPr>
          <w:rFonts w:eastAsia="Times New Roman" w:cs="Calibri"/>
          <w:color w:val="156082" w:themeColor="accent1"/>
          <w:lang w:eastAsia="en-GB"/>
        </w:rPr>
        <w:t xml:space="preserve">This Fellowship provides funding for the recipient to observe medicine in the UK’s NHS for a two-week period in July 2026. Spending time across geriatric medicine, acute medicine and palliative care, the recipient will experience UK medicine and better understand the NHS healthcare system. </w:t>
      </w:r>
      <w:r w:rsidR="00DA67DD" w:rsidRPr="00564781">
        <w:rPr>
          <w:rFonts w:cs="Calibri"/>
          <w:color w:val="156082" w:themeColor="accent1"/>
        </w:rPr>
        <w:t>  </w:t>
      </w:r>
    </w:p>
    <w:p w14:paraId="27B01D44" w14:textId="464EEE83" w:rsidR="005819D3" w:rsidRPr="00564781" w:rsidRDefault="00CD5594" w:rsidP="00564781">
      <w:pPr>
        <w:rPr>
          <w:rFonts w:cs="Calibri"/>
          <w:color w:val="156082" w:themeColor="accent1"/>
        </w:rPr>
      </w:pPr>
      <w:r w:rsidRPr="00564781">
        <w:rPr>
          <w:rFonts w:eastAsia="Times New Roman" w:cs="Calibri"/>
          <w:color w:val="156082" w:themeColor="accent1"/>
          <w:lang w:eastAsia="en-GB"/>
        </w:rPr>
        <w:t>The Fellowship is in partnership with College of Physicians of Malaysia (COPM) and Malaysian Advanced Acute Internal Medicine and Ultrasound Society (MAAIMUS).</w:t>
      </w:r>
    </w:p>
    <w:p w14:paraId="2A5F8CBA" w14:textId="77777777" w:rsidR="005819D3" w:rsidRPr="00564781" w:rsidRDefault="00DA67DD">
      <w:pPr>
        <w:rPr>
          <w:color w:val="156082" w:themeColor="accent1"/>
        </w:rPr>
      </w:pPr>
      <w:r w:rsidRPr="00564781">
        <w:rPr>
          <w:color w:val="156082" w:themeColor="accent1"/>
        </w:rPr>
        <w:t> </w:t>
      </w:r>
    </w:p>
    <w:p w14:paraId="2EA678F0" w14:textId="3CDD345B" w:rsidR="005819D3" w:rsidRPr="00564781" w:rsidRDefault="00DA67DD">
      <w:pPr>
        <w:rPr>
          <w:color w:val="156082" w:themeColor="accent1"/>
        </w:rPr>
      </w:pPr>
      <w:r w:rsidRPr="00564781">
        <w:rPr>
          <w:b/>
          <w:bCs/>
          <w:color w:val="156082" w:themeColor="accent1"/>
          <w:lang w:val="en-MY"/>
        </w:rPr>
        <w:t>Eligibility Requirements</w:t>
      </w:r>
      <w:r w:rsidR="00F11815" w:rsidRPr="00564781">
        <w:rPr>
          <w:color w:val="156082" w:themeColor="accent1"/>
        </w:rPr>
        <w:t>:</w:t>
      </w:r>
    </w:p>
    <w:p w14:paraId="437A5FF6" w14:textId="025B8AAE" w:rsidR="005819D3" w:rsidRPr="00564781" w:rsidRDefault="00DA67DD">
      <w:pPr>
        <w:rPr>
          <w:color w:val="156082" w:themeColor="accent1"/>
        </w:rPr>
      </w:pPr>
      <w:r w:rsidRPr="00564781">
        <w:rPr>
          <w:b/>
          <w:bCs/>
          <w:color w:val="156082" w:themeColor="accent1"/>
          <w:lang w:val="en-MY"/>
        </w:rPr>
        <w:t>National Specialist Register (NSR) Registration</w:t>
      </w:r>
      <w:r w:rsidRPr="00564781">
        <w:rPr>
          <w:color w:val="156082" w:themeColor="accent1"/>
        </w:rPr>
        <w:t> </w:t>
      </w:r>
    </w:p>
    <w:p w14:paraId="48C032DD" w14:textId="26A9AE76" w:rsidR="005819D3" w:rsidRPr="00564781" w:rsidRDefault="00DA67DD">
      <w:pPr>
        <w:rPr>
          <w:color w:val="156082" w:themeColor="accent1"/>
        </w:rPr>
      </w:pPr>
      <w:r w:rsidRPr="00564781">
        <w:rPr>
          <w:color w:val="156082" w:themeColor="accent1"/>
          <w:lang w:val="en-MY"/>
        </w:rPr>
        <w:t>Applicants must be registered under the National Specialist Register (NSR) in the relevant subspecialty for which the Fellowship is being pursued.</w:t>
      </w:r>
      <w:r w:rsidRPr="00564781">
        <w:rPr>
          <w:color w:val="156082" w:themeColor="accent1"/>
        </w:rPr>
        <w:t> </w:t>
      </w:r>
      <w:r w:rsidR="009A4952" w:rsidRPr="00564781">
        <w:rPr>
          <w:color w:val="156082" w:themeColor="accent1"/>
        </w:rPr>
        <w:t>They must be based in Malaysia</w:t>
      </w:r>
      <w:r w:rsidR="00F11815" w:rsidRPr="00564781">
        <w:rPr>
          <w:color w:val="156082" w:themeColor="accent1"/>
        </w:rPr>
        <w:t xml:space="preserve"> at the time of application and throughout the award period.</w:t>
      </w:r>
    </w:p>
    <w:p w14:paraId="106C219A" w14:textId="77777777" w:rsidR="005819D3" w:rsidRPr="00564781" w:rsidRDefault="00DA67DD">
      <w:pPr>
        <w:numPr>
          <w:ilvl w:val="0"/>
          <w:numId w:val="1"/>
        </w:numPr>
        <w:rPr>
          <w:color w:val="156082" w:themeColor="accent1"/>
        </w:rPr>
      </w:pPr>
      <w:r w:rsidRPr="00564781">
        <w:rPr>
          <w:color w:val="156082" w:themeColor="accent1"/>
          <w:lang w:val="en-MY"/>
        </w:rPr>
        <w:t>Documentary proof of NSR registration must be included in the application.</w:t>
      </w:r>
      <w:r w:rsidRPr="00564781">
        <w:rPr>
          <w:color w:val="156082" w:themeColor="accent1"/>
        </w:rPr>
        <w:t> </w:t>
      </w:r>
    </w:p>
    <w:p w14:paraId="1F51D834" w14:textId="77777777" w:rsidR="005819D3" w:rsidRPr="00564781" w:rsidRDefault="00DA67DD">
      <w:pPr>
        <w:numPr>
          <w:ilvl w:val="0"/>
          <w:numId w:val="2"/>
        </w:numPr>
        <w:rPr>
          <w:color w:val="156082" w:themeColor="accent1"/>
        </w:rPr>
      </w:pPr>
      <w:r w:rsidRPr="00564781">
        <w:rPr>
          <w:color w:val="156082" w:themeColor="accent1"/>
          <w:lang w:val="en-MY"/>
        </w:rPr>
        <w:t>Applications without confirmation of NSR status will not be considered.</w:t>
      </w:r>
      <w:r w:rsidRPr="00564781">
        <w:rPr>
          <w:color w:val="156082" w:themeColor="accent1"/>
        </w:rPr>
        <w:t> </w:t>
      </w:r>
    </w:p>
    <w:p w14:paraId="21E012C4" w14:textId="5BABFE44" w:rsidR="005819D3" w:rsidRPr="00564781" w:rsidRDefault="00DA67DD">
      <w:pPr>
        <w:rPr>
          <w:color w:val="156082" w:themeColor="accent1"/>
        </w:rPr>
      </w:pPr>
      <w:r w:rsidRPr="00564781">
        <w:rPr>
          <w:b/>
          <w:bCs/>
          <w:color w:val="156082" w:themeColor="accent1"/>
          <w:lang w:val="en-MY"/>
        </w:rPr>
        <w:t>Membership in the Academy of Medicine of Malaysia (AMM)</w:t>
      </w:r>
      <w:r w:rsidRPr="00564781">
        <w:rPr>
          <w:color w:val="156082" w:themeColor="accent1"/>
        </w:rPr>
        <w:t> </w:t>
      </w:r>
    </w:p>
    <w:p w14:paraId="2C3CB4CF" w14:textId="77777777" w:rsidR="005819D3" w:rsidRPr="00564781" w:rsidRDefault="00DA67DD">
      <w:pPr>
        <w:rPr>
          <w:color w:val="156082" w:themeColor="accent1"/>
        </w:rPr>
      </w:pPr>
      <w:r w:rsidRPr="00564781">
        <w:rPr>
          <w:color w:val="156082" w:themeColor="accent1"/>
          <w:lang w:val="en-MY"/>
        </w:rPr>
        <w:t>Applicants must be current members of the Academy of Medicine of Malaysia (AMM).</w:t>
      </w:r>
      <w:r w:rsidRPr="00564781">
        <w:rPr>
          <w:color w:val="156082" w:themeColor="accent1"/>
        </w:rPr>
        <w:t> </w:t>
      </w:r>
    </w:p>
    <w:p w14:paraId="2FF1273E" w14:textId="77777777" w:rsidR="005819D3" w:rsidRPr="00564781" w:rsidRDefault="00DA67DD">
      <w:pPr>
        <w:numPr>
          <w:ilvl w:val="0"/>
          <w:numId w:val="3"/>
        </w:numPr>
        <w:rPr>
          <w:color w:val="156082" w:themeColor="accent1"/>
        </w:rPr>
      </w:pPr>
      <w:r w:rsidRPr="00564781">
        <w:rPr>
          <w:color w:val="156082" w:themeColor="accent1"/>
          <w:lang w:val="en-MY"/>
        </w:rPr>
        <w:t>Membership must be valid at the time of application and throughout the Fellowship period.</w:t>
      </w:r>
      <w:r w:rsidRPr="00564781">
        <w:rPr>
          <w:color w:val="156082" w:themeColor="accent1"/>
        </w:rPr>
        <w:t> </w:t>
      </w:r>
    </w:p>
    <w:p w14:paraId="517B3849" w14:textId="77777777" w:rsidR="005819D3" w:rsidRPr="00564781" w:rsidRDefault="00DA67DD">
      <w:pPr>
        <w:numPr>
          <w:ilvl w:val="0"/>
          <w:numId w:val="4"/>
        </w:numPr>
        <w:rPr>
          <w:color w:val="156082" w:themeColor="accent1"/>
        </w:rPr>
      </w:pPr>
      <w:r w:rsidRPr="00564781">
        <w:rPr>
          <w:color w:val="156082" w:themeColor="accent1"/>
          <w:lang w:val="en-MY"/>
        </w:rPr>
        <w:t>Verification of AMM membership may be requested by the Fellowship Committee.</w:t>
      </w:r>
      <w:r w:rsidRPr="00564781">
        <w:rPr>
          <w:color w:val="156082" w:themeColor="accent1"/>
        </w:rPr>
        <w:t> </w:t>
      </w:r>
    </w:p>
    <w:p w14:paraId="7F2B1C49" w14:textId="641AE5D5" w:rsidR="005819D3" w:rsidRPr="00564781" w:rsidRDefault="00DA67DD">
      <w:pPr>
        <w:rPr>
          <w:color w:val="156082" w:themeColor="accent1"/>
        </w:rPr>
      </w:pPr>
      <w:r w:rsidRPr="00564781">
        <w:rPr>
          <w:b/>
          <w:bCs/>
          <w:color w:val="156082" w:themeColor="accent1"/>
          <w:lang w:val="en-MY"/>
        </w:rPr>
        <w:t>Hold MRCP UK </w:t>
      </w:r>
      <w:r w:rsidRPr="00564781">
        <w:rPr>
          <w:color w:val="156082" w:themeColor="accent1"/>
        </w:rPr>
        <w:t> </w:t>
      </w:r>
    </w:p>
    <w:p w14:paraId="33E91F92" w14:textId="77777777" w:rsidR="005819D3" w:rsidRPr="00564781" w:rsidRDefault="00DA67DD">
      <w:pPr>
        <w:rPr>
          <w:color w:val="156082" w:themeColor="accent1"/>
        </w:rPr>
      </w:pPr>
      <w:r w:rsidRPr="00564781">
        <w:rPr>
          <w:color w:val="156082" w:themeColor="accent1"/>
          <w:lang w:val="en-MY"/>
        </w:rPr>
        <w:t>Applicants must hold Membership of the Royal Colleges of Physicians of the United Kingdom (MRCP UK). Proof of membership (e.g., MRCP(UK) or FRCP(UK) certification) must be provided upon application.</w:t>
      </w:r>
      <w:r w:rsidRPr="00564781">
        <w:rPr>
          <w:color w:val="156082" w:themeColor="accent1"/>
        </w:rPr>
        <w:t> </w:t>
      </w:r>
    </w:p>
    <w:p w14:paraId="116CF20B" w14:textId="77777777" w:rsidR="005819D3" w:rsidRPr="00564781" w:rsidRDefault="00DA67DD">
      <w:pPr>
        <w:numPr>
          <w:ilvl w:val="0"/>
          <w:numId w:val="5"/>
        </w:numPr>
        <w:rPr>
          <w:color w:val="156082" w:themeColor="accent1"/>
        </w:rPr>
      </w:pPr>
      <w:r w:rsidRPr="00564781">
        <w:rPr>
          <w:color w:val="156082" w:themeColor="accent1"/>
          <w:lang w:val="en-MY"/>
        </w:rPr>
        <w:t>Membership must remain valid throughout the Fellowship period.</w:t>
      </w:r>
      <w:r w:rsidRPr="00564781">
        <w:rPr>
          <w:color w:val="156082" w:themeColor="accent1"/>
        </w:rPr>
        <w:t> </w:t>
      </w:r>
    </w:p>
    <w:p w14:paraId="1B8E46D9" w14:textId="77777777" w:rsidR="005819D3" w:rsidRPr="00564781" w:rsidRDefault="00DA67DD">
      <w:pPr>
        <w:rPr>
          <w:color w:val="156082" w:themeColor="accent1"/>
        </w:rPr>
      </w:pPr>
      <w:r w:rsidRPr="00564781">
        <w:rPr>
          <w:color w:val="156082" w:themeColor="accent1"/>
        </w:rPr>
        <w:t> </w:t>
      </w:r>
    </w:p>
    <w:p w14:paraId="6BF76746" w14:textId="77777777" w:rsidR="00F11815" w:rsidRPr="00564781" w:rsidRDefault="00F11815">
      <w:pPr>
        <w:rPr>
          <w:color w:val="156082" w:themeColor="accent1"/>
        </w:rPr>
      </w:pPr>
    </w:p>
    <w:p w14:paraId="3C40A4CF" w14:textId="5696A2FB" w:rsidR="005819D3" w:rsidRPr="00564781" w:rsidRDefault="00DA67DD">
      <w:pPr>
        <w:rPr>
          <w:color w:val="156082" w:themeColor="accent1"/>
        </w:rPr>
      </w:pPr>
      <w:r w:rsidRPr="00564781">
        <w:rPr>
          <w:color w:val="156082" w:themeColor="accent1"/>
        </w:rPr>
        <w:lastRenderedPageBreak/>
        <w:t>Applicants must be currently in practice </w:t>
      </w:r>
      <w:r w:rsidRPr="00564781">
        <w:rPr>
          <w:color w:val="156082" w:themeColor="accent1"/>
          <w:u w:val="single"/>
        </w:rPr>
        <w:t>in Malaysia </w:t>
      </w:r>
      <w:r w:rsidRPr="00564781">
        <w:rPr>
          <w:color w:val="156082" w:themeColor="accent1"/>
        </w:rPr>
        <w:t>and will either be:</w:t>
      </w:r>
      <w:r w:rsidRPr="00564781">
        <w:rPr>
          <w:color w:val="156082" w:themeColor="accent1"/>
          <w:u w:val="single"/>
        </w:rPr>
        <w:t> </w:t>
      </w:r>
      <w:r w:rsidRPr="00564781">
        <w:rPr>
          <w:color w:val="156082" w:themeColor="accent1"/>
        </w:rPr>
        <w:t> </w:t>
      </w:r>
    </w:p>
    <w:p w14:paraId="16FF78F6" w14:textId="260D7CDD" w:rsidR="005819D3" w:rsidRPr="00564781" w:rsidRDefault="009A4952">
      <w:pPr>
        <w:numPr>
          <w:ilvl w:val="0"/>
          <w:numId w:val="6"/>
        </w:numPr>
        <w:rPr>
          <w:color w:val="156082" w:themeColor="accent1"/>
        </w:rPr>
      </w:pPr>
      <w:r w:rsidRPr="00564781">
        <w:rPr>
          <w:color w:val="156082" w:themeColor="accent1"/>
          <w:u w:val="single"/>
        </w:rPr>
        <w:t xml:space="preserve">Physician in higher level </w:t>
      </w:r>
      <w:proofErr w:type="gramStart"/>
      <w:r w:rsidRPr="00564781">
        <w:rPr>
          <w:color w:val="156082" w:themeColor="accent1"/>
          <w:u w:val="single"/>
        </w:rPr>
        <w:t xml:space="preserve">training </w:t>
      </w:r>
      <w:r w:rsidR="00A957D1" w:rsidRPr="00564781">
        <w:rPr>
          <w:color w:val="156082" w:themeColor="accent1"/>
          <w:u w:val="single"/>
        </w:rPr>
        <w:t xml:space="preserve"> OR</w:t>
      </w:r>
      <w:proofErr w:type="gramEnd"/>
    </w:p>
    <w:p w14:paraId="61D02E16" w14:textId="6983E394" w:rsidR="005819D3" w:rsidRPr="00564781" w:rsidRDefault="00DA67DD">
      <w:pPr>
        <w:numPr>
          <w:ilvl w:val="0"/>
          <w:numId w:val="7"/>
        </w:numPr>
        <w:rPr>
          <w:color w:val="156082" w:themeColor="accent1"/>
        </w:rPr>
      </w:pPr>
      <w:r w:rsidRPr="00564781">
        <w:rPr>
          <w:color w:val="156082" w:themeColor="accent1"/>
          <w:u w:val="single"/>
        </w:rPr>
        <w:t xml:space="preserve">Consultant Physicians (within first 10 </w:t>
      </w:r>
      <w:proofErr w:type="gramStart"/>
      <w:r w:rsidRPr="00564781">
        <w:rPr>
          <w:color w:val="156082" w:themeColor="accent1"/>
          <w:u w:val="single"/>
        </w:rPr>
        <w:t>years) </w:t>
      </w:r>
      <w:r w:rsidRPr="00564781">
        <w:rPr>
          <w:color w:val="156082" w:themeColor="accent1"/>
        </w:rPr>
        <w:t> </w:t>
      </w:r>
      <w:r w:rsidR="00A957D1" w:rsidRPr="00564781">
        <w:rPr>
          <w:color w:val="156082" w:themeColor="accent1"/>
        </w:rPr>
        <w:t xml:space="preserve"> </w:t>
      </w:r>
      <w:proofErr w:type="gramEnd"/>
      <w:r w:rsidR="00A957D1" w:rsidRPr="00564781">
        <w:rPr>
          <w:color w:val="156082" w:themeColor="accent1"/>
        </w:rPr>
        <w:t>AND</w:t>
      </w:r>
    </w:p>
    <w:p w14:paraId="100CB604" w14:textId="77777777" w:rsidR="005819D3" w:rsidRPr="00564781" w:rsidRDefault="00DA67DD">
      <w:pPr>
        <w:numPr>
          <w:ilvl w:val="0"/>
          <w:numId w:val="10"/>
        </w:numPr>
        <w:rPr>
          <w:color w:val="156082" w:themeColor="accent1"/>
        </w:rPr>
      </w:pPr>
      <w:r w:rsidRPr="00564781">
        <w:rPr>
          <w:color w:val="156082" w:themeColor="accent1"/>
          <w:u w:val="single"/>
        </w:rPr>
        <w:t>Have clear motivations for undertaking the Fellowship with clear objectives for how it will benefit their career/healthcare practice</w:t>
      </w:r>
      <w:r w:rsidRPr="00564781">
        <w:rPr>
          <w:color w:val="156082" w:themeColor="accent1"/>
        </w:rPr>
        <w:t> </w:t>
      </w:r>
    </w:p>
    <w:p w14:paraId="2FD6B06D" w14:textId="4F2C3784" w:rsidR="005819D3" w:rsidRPr="00564781" w:rsidRDefault="00F11815" w:rsidP="00F11815">
      <w:pPr>
        <w:rPr>
          <w:color w:val="156082" w:themeColor="accent1"/>
        </w:rPr>
      </w:pPr>
      <w:r w:rsidRPr="00564781">
        <w:rPr>
          <w:color w:val="156082" w:themeColor="accent1"/>
        </w:rPr>
        <w:t xml:space="preserve">The Fellowship will be overseen by a Steering Committee of representatives from RCPE, the College of Physicians of Malaysia (COPM) and the Malaysian Advanced Acute Internal medicine and </w:t>
      </w:r>
      <w:proofErr w:type="spellStart"/>
      <w:r w:rsidRPr="00564781">
        <w:rPr>
          <w:color w:val="156082" w:themeColor="accent1"/>
        </w:rPr>
        <w:t>UltraSound</w:t>
      </w:r>
      <w:proofErr w:type="spellEnd"/>
      <w:r w:rsidRPr="00564781">
        <w:rPr>
          <w:color w:val="156082" w:themeColor="accent1"/>
        </w:rPr>
        <w:t xml:space="preserve"> Society (MAAIMUSS) who will review applications.</w:t>
      </w:r>
    </w:p>
    <w:p w14:paraId="5A3B1026" w14:textId="77777777" w:rsidR="005819D3" w:rsidRPr="00564781" w:rsidRDefault="00DA67DD">
      <w:pPr>
        <w:rPr>
          <w:color w:val="156082" w:themeColor="accent1"/>
        </w:rPr>
      </w:pPr>
      <w:r w:rsidRPr="00564781">
        <w:rPr>
          <w:color w:val="156082" w:themeColor="accent1"/>
        </w:rPr>
        <w:t> </w:t>
      </w:r>
    </w:p>
    <w:p w14:paraId="26E777BE" w14:textId="77777777" w:rsidR="005819D3" w:rsidRPr="00564781" w:rsidRDefault="00DA67DD">
      <w:pPr>
        <w:rPr>
          <w:b/>
          <w:bCs/>
          <w:color w:val="156082" w:themeColor="accent1"/>
        </w:rPr>
      </w:pPr>
      <w:r w:rsidRPr="00564781">
        <w:rPr>
          <w:b/>
          <w:bCs/>
          <w:color w:val="156082" w:themeColor="accent1"/>
        </w:rPr>
        <w:t>Financial arrangements </w:t>
      </w:r>
    </w:p>
    <w:p w14:paraId="18E98A1E" w14:textId="77777777" w:rsidR="005819D3" w:rsidRPr="00564781" w:rsidRDefault="00DA67DD">
      <w:pPr>
        <w:rPr>
          <w:color w:val="156082" w:themeColor="accent1"/>
        </w:rPr>
      </w:pPr>
      <w:r w:rsidRPr="00564781">
        <w:rPr>
          <w:color w:val="156082" w:themeColor="accent1"/>
        </w:rPr>
        <w:t> </w:t>
      </w:r>
    </w:p>
    <w:p w14:paraId="52646F6C" w14:textId="77777777" w:rsidR="005819D3" w:rsidRPr="00564781" w:rsidRDefault="00DA67DD">
      <w:pPr>
        <w:rPr>
          <w:color w:val="156082" w:themeColor="accent1"/>
        </w:rPr>
      </w:pPr>
      <w:r w:rsidRPr="00564781">
        <w:rPr>
          <w:color w:val="156082" w:themeColor="accent1"/>
        </w:rPr>
        <w:t>RCPE, COPM and MAAIMUSS, have awarded up to £3000 as follows: </w:t>
      </w:r>
    </w:p>
    <w:p w14:paraId="721369DC" w14:textId="77777777" w:rsidR="005819D3" w:rsidRPr="00564781" w:rsidRDefault="00DA67DD">
      <w:pPr>
        <w:rPr>
          <w:color w:val="156082" w:themeColor="accent1"/>
        </w:rPr>
      </w:pPr>
      <w:r w:rsidRPr="00564781">
        <w:rPr>
          <w:color w:val="156082" w:themeColor="accent1"/>
        </w:rPr>
        <w:t> </w:t>
      </w:r>
    </w:p>
    <w:p w14:paraId="6DD0FEC7" w14:textId="77777777" w:rsidR="005819D3" w:rsidRPr="00564781" w:rsidRDefault="00DA67DD">
      <w:pPr>
        <w:rPr>
          <w:color w:val="156082" w:themeColor="accent1"/>
        </w:rPr>
      </w:pPr>
      <w:r w:rsidRPr="00564781">
        <w:rPr>
          <w:color w:val="156082" w:themeColor="accent1"/>
        </w:rPr>
        <w:t>Up to £1000 to cover: </w:t>
      </w:r>
    </w:p>
    <w:p w14:paraId="05CAFAD4" w14:textId="77777777" w:rsidR="005819D3" w:rsidRPr="00564781" w:rsidRDefault="00DA67DD">
      <w:pPr>
        <w:rPr>
          <w:color w:val="156082" w:themeColor="accent1"/>
        </w:rPr>
      </w:pPr>
      <w:r w:rsidRPr="00564781">
        <w:rPr>
          <w:color w:val="156082" w:themeColor="accent1"/>
        </w:rPr>
        <w:t> </w:t>
      </w:r>
    </w:p>
    <w:p w14:paraId="57054518" w14:textId="77777777" w:rsidR="005819D3" w:rsidRPr="00564781" w:rsidRDefault="00DA67DD">
      <w:pPr>
        <w:numPr>
          <w:ilvl w:val="0"/>
          <w:numId w:val="11"/>
        </w:numPr>
        <w:rPr>
          <w:color w:val="156082" w:themeColor="accent1"/>
        </w:rPr>
      </w:pPr>
      <w:r w:rsidRPr="00564781">
        <w:rPr>
          <w:color w:val="156082" w:themeColor="accent1"/>
        </w:rPr>
        <w:t>Travel costs between the Malaysia and the UK (economy or premium economy). The funds cannot be used to support travel for any accompanying travellers. </w:t>
      </w:r>
    </w:p>
    <w:p w14:paraId="00389EC3" w14:textId="77777777" w:rsidR="005819D3" w:rsidRPr="00564781" w:rsidRDefault="00DA67DD">
      <w:pPr>
        <w:numPr>
          <w:ilvl w:val="0"/>
          <w:numId w:val="12"/>
        </w:numPr>
        <w:rPr>
          <w:color w:val="156082" w:themeColor="accent1"/>
        </w:rPr>
      </w:pPr>
      <w:r w:rsidRPr="00564781">
        <w:rPr>
          <w:color w:val="156082" w:themeColor="accent1"/>
        </w:rPr>
        <w:t>Travel insurance  </w:t>
      </w:r>
    </w:p>
    <w:p w14:paraId="172F47AE" w14:textId="77777777" w:rsidR="005819D3" w:rsidRPr="00564781" w:rsidRDefault="00DA67DD">
      <w:pPr>
        <w:numPr>
          <w:ilvl w:val="0"/>
          <w:numId w:val="13"/>
        </w:numPr>
        <w:rPr>
          <w:color w:val="156082" w:themeColor="accent1"/>
        </w:rPr>
      </w:pPr>
      <w:r w:rsidRPr="00564781">
        <w:rPr>
          <w:color w:val="156082" w:themeColor="accent1"/>
        </w:rPr>
        <w:t>Any required immunisations (based on </w:t>
      </w:r>
      <w:proofErr w:type="spellStart"/>
      <w:r w:rsidRPr="00564781">
        <w:rPr>
          <w:color w:val="156082" w:themeColor="accent1"/>
        </w:rPr>
        <w:fldChar w:fldCharType="begin"/>
      </w:r>
      <w:r w:rsidRPr="00564781">
        <w:rPr>
          <w:color w:val="156082" w:themeColor="accent1"/>
        </w:rPr>
        <w:instrText xml:space="preserve"> HYPERLINK  "https://travelhealthpro.org.uk/country/234/united-kingdom\" /l \"Vaccine_Recommendations" </w:instrText>
      </w:r>
      <w:r w:rsidRPr="00564781">
        <w:rPr>
          <w:color w:val="156082" w:themeColor="accent1"/>
        </w:rPr>
      </w:r>
      <w:r w:rsidRPr="00564781">
        <w:rPr>
          <w:color w:val="156082" w:themeColor="accent1"/>
        </w:rPr>
        <w:fldChar w:fldCharType="separate"/>
      </w:r>
      <w:r w:rsidRPr="00564781">
        <w:rPr>
          <w:rStyle w:val="Hyperlink"/>
          <w:color w:val="156082" w:themeColor="accent1"/>
        </w:rPr>
        <w:t>NaTHNaC</w:t>
      </w:r>
      <w:proofErr w:type="spellEnd"/>
      <w:r w:rsidRPr="00564781">
        <w:rPr>
          <w:rStyle w:val="Hyperlink"/>
          <w:color w:val="156082" w:themeColor="accent1"/>
        </w:rPr>
        <w:t> guidance</w:t>
      </w:r>
      <w:r w:rsidRPr="00564781">
        <w:rPr>
          <w:color w:val="156082" w:themeColor="accent1"/>
        </w:rPr>
        <w:fldChar w:fldCharType="end"/>
      </w:r>
      <w:r w:rsidRPr="00564781">
        <w:rPr>
          <w:color w:val="156082" w:themeColor="accent1"/>
        </w:rPr>
        <w:t>)  </w:t>
      </w:r>
    </w:p>
    <w:p w14:paraId="0BDD9178" w14:textId="77777777" w:rsidR="005819D3" w:rsidRPr="00564781" w:rsidRDefault="00DA67DD">
      <w:pPr>
        <w:numPr>
          <w:ilvl w:val="0"/>
          <w:numId w:val="14"/>
        </w:numPr>
        <w:rPr>
          <w:color w:val="156082" w:themeColor="accent1"/>
        </w:rPr>
      </w:pPr>
      <w:r w:rsidRPr="00564781">
        <w:rPr>
          <w:color w:val="156082" w:themeColor="accent1"/>
        </w:rPr>
        <w:t>Any visa </w:t>
      </w:r>
      <w:r w:rsidRPr="00564781">
        <w:rPr>
          <w:color w:val="156082" w:themeColor="accent1"/>
          <w:u w:val="single"/>
        </w:rPr>
        <w:t>required (based on </w:t>
      </w:r>
      <w:hyperlink r:id="rId9" w:history="1">
        <w:r w:rsidRPr="00564781">
          <w:rPr>
            <w:rStyle w:val="Hyperlink"/>
            <w:color w:val="156082" w:themeColor="accent1"/>
          </w:rPr>
          <w:t>GOV.UK</w:t>
        </w:r>
      </w:hyperlink>
      <w:r w:rsidRPr="00564781">
        <w:rPr>
          <w:color w:val="156082" w:themeColor="accent1"/>
          <w:u w:val="single"/>
        </w:rPr>
        <w:t> guidance)</w:t>
      </w:r>
      <w:r w:rsidRPr="00564781">
        <w:rPr>
          <w:color w:val="156082" w:themeColor="accent1"/>
        </w:rPr>
        <w:t> </w:t>
      </w:r>
    </w:p>
    <w:p w14:paraId="4E224D5D" w14:textId="7661B2C0" w:rsidR="005819D3" w:rsidRPr="00564781" w:rsidRDefault="00F11815" w:rsidP="00F11815">
      <w:pPr>
        <w:rPr>
          <w:color w:val="156082" w:themeColor="accent1"/>
        </w:rPr>
      </w:pPr>
      <w:r w:rsidRPr="00564781">
        <w:rPr>
          <w:color w:val="156082" w:themeColor="accent1"/>
        </w:rPr>
        <w:t>It is the recipient’s responsibility to ensure they comply with any visa, vaccination requirements and official travel advice.</w:t>
      </w:r>
    </w:p>
    <w:p w14:paraId="14FED198" w14:textId="77777777" w:rsidR="005819D3" w:rsidRPr="00564781" w:rsidRDefault="00DA67DD">
      <w:pPr>
        <w:rPr>
          <w:color w:val="156082" w:themeColor="accent1"/>
        </w:rPr>
      </w:pPr>
      <w:r w:rsidRPr="00564781">
        <w:rPr>
          <w:color w:val="156082" w:themeColor="accent1"/>
        </w:rPr>
        <w:t>The funding must be used for the sole purpose outlined here. No other financial substitution is available. </w:t>
      </w:r>
    </w:p>
    <w:p w14:paraId="0EBB73FC" w14:textId="77777777" w:rsidR="005819D3" w:rsidRPr="00564781" w:rsidRDefault="00DA67DD">
      <w:pPr>
        <w:rPr>
          <w:color w:val="156082" w:themeColor="accent1"/>
        </w:rPr>
      </w:pPr>
      <w:r w:rsidRPr="00564781">
        <w:rPr>
          <w:color w:val="156082" w:themeColor="accent1"/>
        </w:rPr>
        <w:t>Up to £2000 to cover: </w:t>
      </w:r>
    </w:p>
    <w:p w14:paraId="485D5420" w14:textId="77777777" w:rsidR="005819D3" w:rsidRPr="00564781" w:rsidRDefault="00DA67DD">
      <w:pPr>
        <w:numPr>
          <w:ilvl w:val="0"/>
          <w:numId w:val="15"/>
        </w:numPr>
        <w:rPr>
          <w:color w:val="156082" w:themeColor="accent1"/>
        </w:rPr>
      </w:pPr>
      <w:r w:rsidRPr="00564781">
        <w:rPr>
          <w:color w:val="156082" w:themeColor="accent1"/>
        </w:rPr>
        <w:t>Accommodation in the UK, arranged by RCPE  </w:t>
      </w:r>
    </w:p>
    <w:p w14:paraId="3F7137B3" w14:textId="77777777" w:rsidR="005819D3" w:rsidRPr="00564781" w:rsidRDefault="00DA67DD">
      <w:pPr>
        <w:numPr>
          <w:ilvl w:val="0"/>
          <w:numId w:val="16"/>
        </w:numPr>
        <w:rPr>
          <w:color w:val="156082" w:themeColor="accent1"/>
        </w:rPr>
      </w:pPr>
      <w:r w:rsidRPr="00564781">
        <w:rPr>
          <w:color w:val="156082" w:themeColor="accent1"/>
        </w:rPr>
        <w:t>Travel within the UK as part of the Fellowship  </w:t>
      </w:r>
    </w:p>
    <w:p w14:paraId="7572B354" w14:textId="77777777" w:rsidR="005819D3" w:rsidRPr="00564781" w:rsidRDefault="00DA67DD">
      <w:pPr>
        <w:numPr>
          <w:ilvl w:val="0"/>
          <w:numId w:val="17"/>
        </w:numPr>
        <w:rPr>
          <w:color w:val="156082" w:themeColor="accent1"/>
        </w:rPr>
      </w:pPr>
      <w:r w:rsidRPr="00564781">
        <w:rPr>
          <w:color w:val="156082" w:themeColor="accent1"/>
        </w:rPr>
        <w:t>Subsistence during the two-week placement. </w:t>
      </w:r>
    </w:p>
    <w:p w14:paraId="4C568D88" w14:textId="77777777" w:rsidR="005819D3" w:rsidRPr="00564781" w:rsidRDefault="00DA67DD">
      <w:pPr>
        <w:rPr>
          <w:color w:val="156082" w:themeColor="accent1"/>
        </w:rPr>
      </w:pPr>
      <w:r w:rsidRPr="00564781">
        <w:rPr>
          <w:color w:val="156082" w:themeColor="accent1"/>
        </w:rPr>
        <w:t> </w:t>
      </w:r>
    </w:p>
    <w:p w14:paraId="2F808987" w14:textId="77777777" w:rsidR="005819D3" w:rsidRPr="00564781" w:rsidRDefault="00DA67DD">
      <w:pPr>
        <w:rPr>
          <w:color w:val="156082" w:themeColor="accent1"/>
        </w:rPr>
      </w:pPr>
      <w:r w:rsidRPr="00564781">
        <w:rPr>
          <w:b/>
          <w:bCs/>
          <w:color w:val="156082" w:themeColor="accent1"/>
          <w:u w:val="single"/>
        </w:rPr>
        <w:t>Conditions</w:t>
      </w:r>
      <w:r w:rsidRPr="00564781">
        <w:rPr>
          <w:color w:val="156082" w:themeColor="accent1"/>
        </w:rPr>
        <w:t> </w:t>
      </w:r>
    </w:p>
    <w:p w14:paraId="7128C1D4" w14:textId="77777777" w:rsidR="005819D3" w:rsidRPr="00564781" w:rsidRDefault="00DA67DD">
      <w:pPr>
        <w:rPr>
          <w:color w:val="156082" w:themeColor="accent1"/>
        </w:rPr>
      </w:pPr>
      <w:r w:rsidRPr="00564781">
        <w:rPr>
          <w:color w:val="156082" w:themeColor="accent1"/>
        </w:rPr>
        <w:t> </w:t>
      </w:r>
    </w:p>
    <w:p w14:paraId="43A0CE4A" w14:textId="1C033460" w:rsidR="005819D3" w:rsidRPr="00564781" w:rsidRDefault="00DA67DD">
      <w:pPr>
        <w:numPr>
          <w:ilvl w:val="0"/>
          <w:numId w:val="18"/>
        </w:numPr>
        <w:rPr>
          <w:color w:val="156082" w:themeColor="accent1"/>
        </w:rPr>
      </w:pPr>
      <w:r w:rsidRPr="00564781">
        <w:rPr>
          <w:color w:val="156082" w:themeColor="accent1"/>
        </w:rPr>
        <w:t>The recipient should confirm acceptance of the offer, sign the Terms and Conditions and book appropriate travel insurance on acceptance of the award</w:t>
      </w:r>
      <w:r w:rsidR="00F11815" w:rsidRPr="00564781">
        <w:rPr>
          <w:color w:val="156082" w:themeColor="accent1"/>
        </w:rPr>
        <w:t>.</w:t>
      </w:r>
    </w:p>
    <w:p w14:paraId="0B16B27F" w14:textId="2139DF13" w:rsidR="005819D3" w:rsidRPr="00564781" w:rsidRDefault="00DA67DD">
      <w:pPr>
        <w:numPr>
          <w:ilvl w:val="0"/>
          <w:numId w:val="19"/>
        </w:numPr>
        <w:rPr>
          <w:color w:val="156082" w:themeColor="accent1"/>
        </w:rPr>
      </w:pPr>
      <w:r w:rsidRPr="00564781">
        <w:rPr>
          <w:color w:val="156082" w:themeColor="accent1"/>
        </w:rPr>
        <w:t>Applicants must hold NSR Registration,</w:t>
      </w:r>
      <w:r w:rsidR="00F11815" w:rsidRPr="00564781">
        <w:rPr>
          <w:color w:val="156082" w:themeColor="accent1"/>
        </w:rPr>
        <w:t xml:space="preserve"> </w:t>
      </w:r>
      <w:r w:rsidRPr="00564781">
        <w:rPr>
          <w:color w:val="156082" w:themeColor="accent1"/>
        </w:rPr>
        <w:t>be Members of AMM</w:t>
      </w:r>
      <w:r w:rsidR="00F11815" w:rsidRPr="00564781">
        <w:rPr>
          <w:color w:val="156082" w:themeColor="accent1"/>
        </w:rPr>
        <w:t>,</w:t>
      </w:r>
      <w:r w:rsidRPr="00564781">
        <w:rPr>
          <w:color w:val="156082" w:themeColor="accent1"/>
        </w:rPr>
        <w:t xml:space="preserve"> and hold MRCP UK</w:t>
      </w:r>
      <w:r w:rsidR="00F11815" w:rsidRPr="00564781">
        <w:rPr>
          <w:color w:val="156082" w:themeColor="accent1"/>
        </w:rPr>
        <w:t>.</w:t>
      </w:r>
    </w:p>
    <w:p w14:paraId="00CA5BCD" w14:textId="77777777" w:rsidR="005819D3" w:rsidRPr="00564781" w:rsidRDefault="00DA67DD">
      <w:pPr>
        <w:numPr>
          <w:ilvl w:val="0"/>
          <w:numId w:val="20"/>
        </w:numPr>
        <w:rPr>
          <w:color w:val="156082" w:themeColor="accent1"/>
        </w:rPr>
      </w:pPr>
      <w:r w:rsidRPr="00564781">
        <w:rPr>
          <w:color w:val="156082" w:themeColor="accent1"/>
        </w:rPr>
        <w:lastRenderedPageBreak/>
        <w:t>Applicants must be working in Malaysia at the time of application and until completion of the fellowship. </w:t>
      </w:r>
    </w:p>
    <w:p w14:paraId="6E307AA5" w14:textId="74DD9162" w:rsidR="005819D3" w:rsidRPr="00564781" w:rsidRDefault="00DA67DD">
      <w:pPr>
        <w:numPr>
          <w:ilvl w:val="0"/>
          <w:numId w:val="21"/>
        </w:numPr>
        <w:rPr>
          <w:color w:val="156082" w:themeColor="accent1"/>
        </w:rPr>
      </w:pPr>
      <w:r w:rsidRPr="00564781">
        <w:rPr>
          <w:color w:val="156082" w:themeColor="accent1"/>
        </w:rPr>
        <w:t>The award is not transferable and is made on the understanding that the applicant agrees to accept the Terms and Conditions of the scheme, and any amendments issued </w:t>
      </w:r>
      <w:proofErr w:type="gramStart"/>
      <w:r w:rsidRPr="00564781">
        <w:rPr>
          <w:color w:val="156082" w:themeColor="accent1"/>
        </w:rPr>
        <w:t>during the course of</w:t>
      </w:r>
      <w:proofErr w:type="gramEnd"/>
      <w:r w:rsidRPr="00564781">
        <w:rPr>
          <w:color w:val="156082" w:themeColor="accent1"/>
        </w:rPr>
        <w:t> the application or visit</w:t>
      </w:r>
      <w:r w:rsidR="00F11815" w:rsidRPr="00564781">
        <w:rPr>
          <w:color w:val="156082" w:themeColor="accent1"/>
        </w:rPr>
        <w:t>.</w:t>
      </w:r>
    </w:p>
    <w:p w14:paraId="54DE0E77" w14:textId="77777777" w:rsidR="005819D3" w:rsidRPr="00564781" w:rsidRDefault="00DA67DD">
      <w:pPr>
        <w:numPr>
          <w:ilvl w:val="0"/>
          <w:numId w:val="22"/>
        </w:numPr>
        <w:rPr>
          <w:color w:val="156082" w:themeColor="accent1"/>
        </w:rPr>
      </w:pPr>
      <w:r w:rsidRPr="00564781">
        <w:rPr>
          <w:color w:val="156082" w:themeColor="accent1"/>
        </w:rPr>
        <w:t>If not already a Collegiate Member or Fellow of RCPE, the recipient must join as a Collegiate Member of RCPE on acceptance of the Terms and Conditions of the award. </w:t>
      </w:r>
    </w:p>
    <w:p w14:paraId="65DDE0A4" w14:textId="2DFD790B" w:rsidR="005819D3" w:rsidRPr="00564781" w:rsidRDefault="00DA67DD">
      <w:pPr>
        <w:numPr>
          <w:ilvl w:val="0"/>
          <w:numId w:val="23"/>
        </w:numPr>
        <w:rPr>
          <w:color w:val="156082" w:themeColor="accent1"/>
        </w:rPr>
      </w:pPr>
      <w:r w:rsidRPr="00564781">
        <w:rPr>
          <w:color w:val="156082" w:themeColor="accent1"/>
        </w:rPr>
        <w:t>The travel must be completed between </w:t>
      </w:r>
      <w:r w:rsidR="009F59F9" w:rsidRPr="00564781">
        <w:rPr>
          <w:color w:val="156082" w:themeColor="accent1"/>
        </w:rPr>
        <w:t>12 July</w:t>
      </w:r>
      <w:r w:rsidRPr="00564781">
        <w:rPr>
          <w:color w:val="156082" w:themeColor="accent1"/>
        </w:rPr>
        <w:t xml:space="preserve"> and </w:t>
      </w:r>
      <w:r w:rsidR="009F59F9" w:rsidRPr="00564781">
        <w:rPr>
          <w:color w:val="156082" w:themeColor="accent1"/>
        </w:rPr>
        <w:t>2</w:t>
      </w:r>
      <w:r w:rsidRPr="00564781">
        <w:rPr>
          <w:color w:val="156082" w:themeColor="accent1"/>
        </w:rPr>
        <w:t xml:space="preserve"> August 2026. Requests for retrospective awards will not be considered</w:t>
      </w:r>
      <w:r w:rsidR="00F11815" w:rsidRPr="00564781">
        <w:rPr>
          <w:color w:val="156082" w:themeColor="accent1"/>
        </w:rPr>
        <w:t>.</w:t>
      </w:r>
    </w:p>
    <w:p w14:paraId="4E6AD419" w14:textId="77777777" w:rsidR="00F11815" w:rsidRPr="00564781" w:rsidRDefault="00F11815">
      <w:pPr>
        <w:numPr>
          <w:ilvl w:val="0"/>
          <w:numId w:val="23"/>
        </w:numPr>
        <w:rPr>
          <w:color w:val="156082" w:themeColor="accent1"/>
        </w:rPr>
      </w:pPr>
      <w:r w:rsidRPr="00564781">
        <w:rPr>
          <w:color w:val="156082" w:themeColor="accent1"/>
        </w:rPr>
        <w:t xml:space="preserve">The recipient will stay in St John’s Hospital accommodation in Livingston during the placement. They will be required to sign a contract with the accommodation team upon acceptance of the offer of the Fellowship. </w:t>
      </w:r>
    </w:p>
    <w:p w14:paraId="48D887C8" w14:textId="063F88AC" w:rsidR="00F11815" w:rsidRPr="00564781" w:rsidRDefault="00F11815">
      <w:pPr>
        <w:numPr>
          <w:ilvl w:val="0"/>
          <w:numId w:val="23"/>
        </w:numPr>
        <w:rPr>
          <w:color w:val="156082" w:themeColor="accent1"/>
        </w:rPr>
      </w:pPr>
      <w:r w:rsidRPr="00564781">
        <w:rPr>
          <w:color w:val="156082" w:themeColor="accent1"/>
        </w:rPr>
        <w:t>The College’s professional indemnity cover does not cover medical malpractice, which could include medical advice. The recipient should not undertake any medical work or provide medical advice that could not be provided by a lay person in association with this Fellowship unless they have their own professional indemnity cover.</w:t>
      </w:r>
    </w:p>
    <w:p w14:paraId="7318C9C5" w14:textId="043A0F41" w:rsidR="005819D3" w:rsidRPr="00564781" w:rsidRDefault="00DA67DD">
      <w:pPr>
        <w:numPr>
          <w:ilvl w:val="0"/>
          <w:numId w:val="25"/>
        </w:numPr>
        <w:rPr>
          <w:color w:val="156082" w:themeColor="accent1"/>
        </w:rPr>
      </w:pPr>
      <w:r w:rsidRPr="00564781">
        <w:rPr>
          <w:color w:val="156082" w:themeColor="accent1"/>
        </w:rPr>
        <w:t>The recipient should advise the College about any applications for funding from other sources related to the visit or paid during it</w:t>
      </w:r>
      <w:r w:rsidR="00F11815" w:rsidRPr="00564781">
        <w:rPr>
          <w:color w:val="156082" w:themeColor="accent1"/>
        </w:rPr>
        <w:t>.</w:t>
      </w:r>
    </w:p>
    <w:p w14:paraId="19016F93" w14:textId="4267DFE5" w:rsidR="005819D3" w:rsidRPr="00564781" w:rsidRDefault="00DA67DD">
      <w:pPr>
        <w:numPr>
          <w:ilvl w:val="0"/>
          <w:numId w:val="26"/>
        </w:numPr>
        <w:rPr>
          <w:color w:val="156082" w:themeColor="accent1"/>
        </w:rPr>
      </w:pPr>
      <w:r w:rsidRPr="00564781">
        <w:rPr>
          <w:color w:val="156082" w:themeColor="accent1"/>
        </w:rPr>
        <w:t>If the recipient does not travel, RCPE reserves the right to reimbursement for any funds spent, unless in exceptional circumstances</w:t>
      </w:r>
      <w:r w:rsidR="00F11815" w:rsidRPr="00564781">
        <w:rPr>
          <w:color w:val="156082" w:themeColor="accent1"/>
        </w:rPr>
        <w:t>.</w:t>
      </w:r>
      <w:r w:rsidRPr="00564781">
        <w:rPr>
          <w:color w:val="156082" w:themeColor="accent1"/>
        </w:rPr>
        <w:t> </w:t>
      </w:r>
    </w:p>
    <w:p w14:paraId="6722082E" w14:textId="2D8D740F" w:rsidR="005819D3" w:rsidRPr="00564781" w:rsidRDefault="00DA67DD">
      <w:pPr>
        <w:numPr>
          <w:ilvl w:val="0"/>
          <w:numId w:val="27"/>
        </w:numPr>
        <w:rPr>
          <w:color w:val="156082" w:themeColor="accent1"/>
        </w:rPr>
      </w:pPr>
      <w:r w:rsidRPr="00564781">
        <w:rPr>
          <w:color w:val="156082" w:themeColor="accent1"/>
        </w:rPr>
        <w:t>Information about RCPE data handling and privacy can be found on the </w:t>
      </w:r>
      <w:hyperlink r:id="rId10" w:history="1">
        <w:r w:rsidRPr="00564781">
          <w:rPr>
            <w:rStyle w:val="Hyperlink"/>
            <w:color w:val="156082" w:themeColor="accent1"/>
          </w:rPr>
          <w:t>College website</w:t>
        </w:r>
      </w:hyperlink>
      <w:r w:rsidR="00F11815" w:rsidRPr="00564781">
        <w:rPr>
          <w:color w:val="156082" w:themeColor="accent1"/>
        </w:rPr>
        <w:t>.</w:t>
      </w:r>
    </w:p>
    <w:p w14:paraId="1FA0CC3E" w14:textId="671BA9CF" w:rsidR="005819D3" w:rsidRPr="00564781" w:rsidRDefault="00DA67DD">
      <w:pPr>
        <w:rPr>
          <w:color w:val="156082" w:themeColor="accent1"/>
        </w:rPr>
      </w:pPr>
      <w:r w:rsidRPr="00564781">
        <w:rPr>
          <w:color w:val="156082" w:themeColor="accent1"/>
        </w:rPr>
        <w:t>RCPE will carry out a Risk Assessment prior to any </w:t>
      </w:r>
      <w:proofErr w:type="gramStart"/>
      <w:r w:rsidRPr="00564781">
        <w:rPr>
          <w:color w:val="156082" w:themeColor="accent1"/>
        </w:rPr>
        <w:t>travel</w:t>
      </w:r>
      <w:proofErr w:type="gramEnd"/>
      <w:r w:rsidRPr="00564781">
        <w:rPr>
          <w:color w:val="156082" w:themeColor="accent1"/>
        </w:rPr>
        <w:t> and any health conditions must be declared prior to travel</w:t>
      </w:r>
      <w:r w:rsidR="00F11815" w:rsidRPr="00564781">
        <w:rPr>
          <w:color w:val="156082" w:themeColor="accent1"/>
        </w:rPr>
        <w:t>.</w:t>
      </w:r>
    </w:p>
    <w:p w14:paraId="76C81FD7" w14:textId="77777777" w:rsidR="005819D3" w:rsidRPr="00564781" w:rsidRDefault="00DA67DD">
      <w:pPr>
        <w:numPr>
          <w:ilvl w:val="0"/>
          <w:numId w:val="28"/>
        </w:numPr>
        <w:rPr>
          <w:color w:val="156082" w:themeColor="accent1"/>
        </w:rPr>
      </w:pPr>
      <w:r w:rsidRPr="00564781">
        <w:rPr>
          <w:color w:val="156082" w:themeColor="accent1"/>
        </w:rPr>
        <w:t>RCPE reserves the right to withdraw the award. </w:t>
      </w:r>
    </w:p>
    <w:p w14:paraId="767A7995" w14:textId="77777777" w:rsidR="005819D3" w:rsidRPr="00564781" w:rsidRDefault="00DA67DD">
      <w:pPr>
        <w:rPr>
          <w:color w:val="156082" w:themeColor="accent1"/>
        </w:rPr>
      </w:pPr>
      <w:r w:rsidRPr="00564781">
        <w:rPr>
          <w:color w:val="156082" w:themeColor="accent1"/>
        </w:rPr>
        <w:t> </w:t>
      </w:r>
    </w:p>
    <w:p w14:paraId="53973A58" w14:textId="77777777" w:rsidR="005819D3" w:rsidRPr="00564781" w:rsidRDefault="00DA67DD">
      <w:pPr>
        <w:rPr>
          <w:color w:val="156082" w:themeColor="accent1"/>
        </w:rPr>
      </w:pPr>
      <w:r w:rsidRPr="00564781">
        <w:rPr>
          <w:color w:val="156082" w:themeColor="accent1"/>
        </w:rPr>
        <w:t> </w:t>
      </w:r>
    </w:p>
    <w:p w14:paraId="6BA62D7D" w14:textId="77777777" w:rsidR="005819D3" w:rsidRPr="00564781" w:rsidRDefault="00DA67DD">
      <w:pPr>
        <w:rPr>
          <w:color w:val="156082" w:themeColor="accent1"/>
        </w:rPr>
      </w:pPr>
      <w:r w:rsidRPr="00564781">
        <w:rPr>
          <w:color w:val="156082" w:themeColor="accent1"/>
        </w:rPr>
        <w:t> </w:t>
      </w:r>
    </w:p>
    <w:p w14:paraId="612C0759" w14:textId="77777777" w:rsidR="005819D3" w:rsidRPr="00564781" w:rsidRDefault="00DA67DD">
      <w:pPr>
        <w:rPr>
          <w:color w:val="156082" w:themeColor="accent1"/>
        </w:rPr>
      </w:pPr>
      <w:r w:rsidRPr="00564781">
        <w:rPr>
          <w:b/>
          <w:bCs/>
          <w:color w:val="156082" w:themeColor="accent1"/>
          <w:u w:val="single"/>
        </w:rPr>
        <w:t>Change of Circumstance </w:t>
      </w:r>
      <w:r w:rsidRPr="00564781">
        <w:rPr>
          <w:color w:val="156082" w:themeColor="accent1"/>
        </w:rPr>
        <w:t> </w:t>
      </w:r>
    </w:p>
    <w:p w14:paraId="7122D3BF" w14:textId="77777777" w:rsidR="005819D3" w:rsidRPr="00564781" w:rsidRDefault="00DA67DD">
      <w:pPr>
        <w:rPr>
          <w:color w:val="156082" w:themeColor="accent1"/>
        </w:rPr>
      </w:pPr>
      <w:r w:rsidRPr="00564781">
        <w:rPr>
          <w:color w:val="156082" w:themeColor="accent1"/>
        </w:rPr>
        <w:t> </w:t>
      </w:r>
    </w:p>
    <w:p w14:paraId="60222E3C" w14:textId="77777777" w:rsidR="005819D3" w:rsidRPr="00564781" w:rsidRDefault="00DA67DD">
      <w:pPr>
        <w:rPr>
          <w:color w:val="156082" w:themeColor="accent1"/>
        </w:rPr>
      </w:pPr>
      <w:r w:rsidRPr="00564781">
        <w:rPr>
          <w:color w:val="156082" w:themeColor="accent1"/>
        </w:rPr>
        <w:t>RCPE must be advised of any change in circumstance from that which was originally approved, or which may prevent the recipient from undertaking the Fellowship. RCPE will then advise the recipient of any required action accordingly. </w:t>
      </w:r>
    </w:p>
    <w:p w14:paraId="1A54AAB6" w14:textId="77777777" w:rsidR="005819D3" w:rsidRPr="00564781" w:rsidRDefault="00DA67DD">
      <w:pPr>
        <w:rPr>
          <w:color w:val="156082" w:themeColor="accent1"/>
        </w:rPr>
      </w:pPr>
      <w:r w:rsidRPr="00564781">
        <w:rPr>
          <w:color w:val="156082" w:themeColor="accent1"/>
        </w:rPr>
        <w:t> </w:t>
      </w:r>
    </w:p>
    <w:p w14:paraId="3D25C5B5" w14:textId="77777777" w:rsidR="005819D3" w:rsidRPr="00564781" w:rsidRDefault="00DA67DD">
      <w:pPr>
        <w:rPr>
          <w:color w:val="156082" w:themeColor="accent1"/>
        </w:rPr>
      </w:pPr>
      <w:r w:rsidRPr="00564781">
        <w:rPr>
          <w:b/>
          <w:bCs/>
          <w:color w:val="156082" w:themeColor="accent1"/>
          <w:u w:val="single"/>
        </w:rPr>
        <w:t>Completion Report  </w:t>
      </w:r>
      <w:r w:rsidRPr="00564781">
        <w:rPr>
          <w:b/>
          <w:bCs/>
          <w:color w:val="156082" w:themeColor="accent1"/>
        </w:rPr>
        <w:t> </w:t>
      </w:r>
    </w:p>
    <w:p w14:paraId="6D1E966E" w14:textId="77777777" w:rsidR="005819D3" w:rsidRPr="00564781" w:rsidRDefault="00DA67DD">
      <w:pPr>
        <w:rPr>
          <w:color w:val="156082" w:themeColor="accent1"/>
        </w:rPr>
      </w:pPr>
      <w:r w:rsidRPr="00564781">
        <w:rPr>
          <w:color w:val="156082" w:themeColor="accent1"/>
        </w:rPr>
        <w:t> </w:t>
      </w:r>
    </w:p>
    <w:p w14:paraId="497DE675" w14:textId="749A12FE" w:rsidR="005819D3" w:rsidRPr="00564781" w:rsidRDefault="00DA67DD">
      <w:pPr>
        <w:rPr>
          <w:color w:val="156082" w:themeColor="accent1"/>
        </w:rPr>
      </w:pPr>
      <w:r w:rsidRPr="00564781">
        <w:rPr>
          <w:color w:val="156082" w:themeColor="accent1"/>
        </w:rPr>
        <w:t>The recipient is required to submit a full report of their visit within 2 months of their return to Malaysia. This may be published in a Malaysian Journal, RCPE </w:t>
      </w:r>
      <w:r w:rsidR="00F11815" w:rsidRPr="00564781">
        <w:rPr>
          <w:color w:val="156082" w:themeColor="accent1"/>
        </w:rPr>
        <w:t>website/publications</w:t>
      </w:r>
      <w:r w:rsidRPr="00564781">
        <w:rPr>
          <w:color w:val="156082" w:themeColor="accent1"/>
        </w:rPr>
        <w:t xml:space="preserve"> and should </w:t>
      </w:r>
      <w:r w:rsidRPr="00564781">
        <w:rPr>
          <w:color w:val="156082" w:themeColor="accent1"/>
        </w:rPr>
        <w:lastRenderedPageBreak/>
        <w:t>include case reports/learning reports.  They may also be asked to present findings at the COPM Annual Scientific Congress and/or a RCPE Symposium</w:t>
      </w:r>
      <w:r w:rsidR="00F11815" w:rsidRPr="00564781">
        <w:rPr>
          <w:color w:val="156082" w:themeColor="accent1"/>
        </w:rPr>
        <w:t xml:space="preserve"> and it may be used to secure publicity for the Award.</w:t>
      </w:r>
    </w:p>
    <w:p w14:paraId="764B893D" w14:textId="47DB93B2" w:rsidR="005819D3" w:rsidRPr="00564781" w:rsidRDefault="00DA67DD">
      <w:pPr>
        <w:rPr>
          <w:color w:val="156082" w:themeColor="accent1"/>
        </w:rPr>
      </w:pPr>
      <w:r w:rsidRPr="00564781">
        <w:rPr>
          <w:color w:val="156082" w:themeColor="accent1"/>
        </w:rPr>
        <w:t>  </w:t>
      </w:r>
    </w:p>
    <w:p w14:paraId="4ADCEEAF" w14:textId="77777777" w:rsidR="005819D3" w:rsidRPr="00564781" w:rsidRDefault="00DA67DD">
      <w:pPr>
        <w:rPr>
          <w:color w:val="156082" w:themeColor="accent1"/>
        </w:rPr>
      </w:pPr>
      <w:r w:rsidRPr="00564781">
        <w:rPr>
          <w:color w:val="156082" w:themeColor="accent1"/>
        </w:rPr>
        <w:t>RCPE reserves the right to request return of funds awarded if the report is not submitted.  </w:t>
      </w:r>
    </w:p>
    <w:p w14:paraId="18BD7D6D" w14:textId="77777777" w:rsidR="005819D3" w:rsidRPr="00564781" w:rsidRDefault="00DA67DD">
      <w:pPr>
        <w:rPr>
          <w:color w:val="156082" w:themeColor="accent1"/>
        </w:rPr>
      </w:pPr>
      <w:r w:rsidRPr="00564781">
        <w:rPr>
          <w:color w:val="156082" w:themeColor="accent1"/>
        </w:rPr>
        <w:t> </w:t>
      </w:r>
    </w:p>
    <w:p w14:paraId="38818DDF" w14:textId="77777777" w:rsidR="005819D3" w:rsidRPr="00564781" w:rsidRDefault="00DA67DD">
      <w:pPr>
        <w:rPr>
          <w:color w:val="156082" w:themeColor="accent1"/>
        </w:rPr>
      </w:pPr>
      <w:r w:rsidRPr="00564781">
        <w:rPr>
          <w:color w:val="156082" w:themeColor="accent1"/>
        </w:rPr>
        <w:t> </w:t>
      </w:r>
    </w:p>
    <w:p w14:paraId="5D2C8498" w14:textId="77777777" w:rsidR="005819D3" w:rsidRPr="00564781" w:rsidRDefault="00DA67DD">
      <w:pPr>
        <w:rPr>
          <w:color w:val="156082" w:themeColor="accent1"/>
        </w:rPr>
      </w:pPr>
      <w:r w:rsidRPr="00564781">
        <w:rPr>
          <w:color w:val="156082" w:themeColor="accent1"/>
        </w:rPr>
        <w:t>Signed:  </w:t>
      </w:r>
    </w:p>
    <w:p w14:paraId="0FE79A3B" w14:textId="77777777" w:rsidR="005819D3" w:rsidRPr="00564781" w:rsidRDefault="00DA67DD">
      <w:pPr>
        <w:rPr>
          <w:color w:val="156082" w:themeColor="accent1"/>
        </w:rPr>
      </w:pPr>
      <w:r w:rsidRPr="00564781">
        <w:rPr>
          <w:color w:val="156082" w:themeColor="accent1"/>
        </w:rPr>
        <w:t>(Electronic signatures accepted) </w:t>
      </w:r>
    </w:p>
    <w:p w14:paraId="43148933" w14:textId="77777777" w:rsidR="005819D3" w:rsidRPr="00564781" w:rsidRDefault="00DA67DD">
      <w:pPr>
        <w:rPr>
          <w:color w:val="156082" w:themeColor="accent1"/>
        </w:rPr>
      </w:pPr>
      <w:r w:rsidRPr="00564781">
        <w:rPr>
          <w:color w:val="156082" w:themeColor="accent1"/>
        </w:rPr>
        <w:t> </w:t>
      </w:r>
    </w:p>
    <w:p w14:paraId="05E0331C" w14:textId="77777777" w:rsidR="005819D3" w:rsidRPr="00564781" w:rsidRDefault="00DA67DD">
      <w:pPr>
        <w:rPr>
          <w:color w:val="156082" w:themeColor="accent1"/>
        </w:rPr>
      </w:pPr>
      <w:r w:rsidRPr="00564781">
        <w:rPr>
          <w:color w:val="156082" w:themeColor="accent1"/>
        </w:rPr>
        <w:t>Dated:  </w:t>
      </w:r>
    </w:p>
    <w:p w14:paraId="05157AE3" w14:textId="77777777" w:rsidR="005819D3" w:rsidRPr="00564781" w:rsidRDefault="00DA67DD">
      <w:pPr>
        <w:rPr>
          <w:color w:val="156082" w:themeColor="accent1"/>
        </w:rPr>
      </w:pPr>
      <w:r w:rsidRPr="00564781">
        <w:rPr>
          <w:color w:val="156082" w:themeColor="accent1"/>
        </w:rPr>
        <w:t> </w:t>
      </w:r>
    </w:p>
    <w:p w14:paraId="24181568" w14:textId="77777777" w:rsidR="005819D3" w:rsidRPr="00564781" w:rsidRDefault="005819D3">
      <w:pPr>
        <w:rPr>
          <w:color w:val="156082" w:themeColor="accent1"/>
        </w:rPr>
      </w:pPr>
    </w:p>
    <w:sectPr w:rsidR="005819D3" w:rsidRPr="0056478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8B94" w14:textId="77777777" w:rsidR="00DA67DD" w:rsidRDefault="00DA67DD">
      <w:pPr>
        <w:spacing w:after="0" w:line="240" w:lineRule="auto"/>
      </w:pPr>
      <w:r>
        <w:separator/>
      </w:r>
    </w:p>
  </w:endnote>
  <w:endnote w:type="continuationSeparator" w:id="0">
    <w:p w14:paraId="6F58E78F" w14:textId="77777777" w:rsidR="00DA67DD" w:rsidRDefault="00DA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1AFD" w14:textId="77777777" w:rsidR="00DA67DD" w:rsidRDefault="00DA67DD">
      <w:pPr>
        <w:spacing w:after="0" w:line="240" w:lineRule="auto"/>
      </w:pPr>
      <w:r>
        <w:rPr>
          <w:color w:val="000000"/>
        </w:rPr>
        <w:separator/>
      </w:r>
    </w:p>
  </w:footnote>
  <w:footnote w:type="continuationSeparator" w:id="0">
    <w:p w14:paraId="6E22124D" w14:textId="77777777" w:rsidR="00DA67DD" w:rsidRDefault="00DA6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F7"/>
    <w:multiLevelType w:val="multilevel"/>
    <w:tmpl w:val="CD98CFD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60E6566"/>
    <w:multiLevelType w:val="multilevel"/>
    <w:tmpl w:val="840AF74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9B51D54"/>
    <w:multiLevelType w:val="multilevel"/>
    <w:tmpl w:val="9830D9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24469CC"/>
    <w:multiLevelType w:val="multilevel"/>
    <w:tmpl w:val="1BD6577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946442C"/>
    <w:multiLevelType w:val="multilevel"/>
    <w:tmpl w:val="25F2177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79F343E"/>
    <w:multiLevelType w:val="multilevel"/>
    <w:tmpl w:val="C4B270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2A9A0A69"/>
    <w:multiLevelType w:val="multilevel"/>
    <w:tmpl w:val="2A7428F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2D7944B3"/>
    <w:multiLevelType w:val="multilevel"/>
    <w:tmpl w:val="83B8A1F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31361AC6"/>
    <w:multiLevelType w:val="multilevel"/>
    <w:tmpl w:val="ACA6046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3DD668E"/>
    <w:multiLevelType w:val="multilevel"/>
    <w:tmpl w:val="6054D2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373C2F3D"/>
    <w:multiLevelType w:val="multilevel"/>
    <w:tmpl w:val="EF4E2C7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43C230B6"/>
    <w:multiLevelType w:val="multilevel"/>
    <w:tmpl w:val="C562E7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457D7E5A"/>
    <w:multiLevelType w:val="multilevel"/>
    <w:tmpl w:val="43A21E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4783319B"/>
    <w:multiLevelType w:val="multilevel"/>
    <w:tmpl w:val="811A3C9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4795706F"/>
    <w:multiLevelType w:val="multilevel"/>
    <w:tmpl w:val="2B1C17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47CA4E0C"/>
    <w:multiLevelType w:val="multilevel"/>
    <w:tmpl w:val="B71073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4959265E"/>
    <w:multiLevelType w:val="multilevel"/>
    <w:tmpl w:val="212867A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4A3B7897"/>
    <w:multiLevelType w:val="multilevel"/>
    <w:tmpl w:val="30D0E7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4A8179FD"/>
    <w:multiLevelType w:val="multilevel"/>
    <w:tmpl w:val="5218D30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4DB67C59"/>
    <w:multiLevelType w:val="multilevel"/>
    <w:tmpl w:val="5B2E75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51991B1F"/>
    <w:multiLevelType w:val="multilevel"/>
    <w:tmpl w:val="5D2A89F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535232A0"/>
    <w:multiLevelType w:val="multilevel"/>
    <w:tmpl w:val="DFB6E0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565D051E"/>
    <w:multiLevelType w:val="multilevel"/>
    <w:tmpl w:val="E4A42B5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590F5119"/>
    <w:multiLevelType w:val="multilevel"/>
    <w:tmpl w:val="03DED9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5A77510F"/>
    <w:multiLevelType w:val="multilevel"/>
    <w:tmpl w:val="08864C7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6EB205E"/>
    <w:multiLevelType w:val="multilevel"/>
    <w:tmpl w:val="E014F0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6F542F48"/>
    <w:multiLevelType w:val="multilevel"/>
    <w:tmpl w:val="0FCE934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7EA37F29"/>
    <w:multiLevelType w:val="multilevel"/>
    <w:tmpl w:val="23C236A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612324226">
    <w:abstractNumId w:val="15"/>
  </w:num>
  <w:num w:numId="2" w16cid:durableId="751510174">
    <w:abstractNumId w:val="10"/>
  </w:num>
  <w:num w:numId="3" w16cid:durableId="127096018">
    <w:abstractNumId w:val="9"/>
  </w:num>
  <w:num w:numId="4" w16cid:durableId="1368142248">
    <w:abstractNumId w:val="22"/>
  </w:num>
  <w:num w:numId="5" w16cid:durableId="1829714131">
    <w:abstractNumId w:val="11"/>
  </w:num>
  <w:num w:numId="6" w16cid:durableId="1418479083">
    <w:abstractNumId w:val="8"/>
  </w:num>
  <w:num w:numId="7" w16cid:durableId="210189730">
    <w:abstractNumId w:val="4"/>
  </w:num>
  <w:num w:numId="8" w16cid:durableId="1995524629">
    <w:abstractNumId w:val="7"/>
  </w:num>
  <w:num w:numId="9" w16cid:durableId="1111239180">
    <w:abstractNumId w:val="17"/>
  </w:num>
  <w:num w:numId="10" w16cid:durableId="38630393">
    <w:abstractNumId w:val="24"/>
  </w:num>
  <w:num w:numId="11" w16cid:durableId="1169519345">
    <w:abstractNumId w:val="26"/>
  </w:num>
  <w:num w:numId="12" w16cid:durableId="400754142">
    <w:abstractNumId w:val="25"/>
  </w:num>
  <w:num w:numId="13" w16cid:durableId="716660390">
    <w:abstractNumId w:val="13"/>
  </w:num>
  <w:num w:numId="14" w16cid:durableId="1238981192">
    <w:abstractNumId w:val="23"/>
  </w:num>
  <w:num w:numId="15" w16cid:durableId="1556887595">
    <w:abstractNumId w:val="16"/>
  </w:num>
  <w:num w:numId="16" w16cid:durableId="2125298891">
    <w:abstractNumId w:val="0"/>
  </w:num>
  <w:num w:numId="17" w16cid:durableId="379211615">
    <w:abstractNumId w:val="14"/>
  </w:num>
  <w:num w:numId="18" w16cid:durableId="1770463442">
    <w:abstractNumId w:val="6"/>
  </w:num>
  <w:num w:numId="19" w16cid:durableId="775756025">
    <w:abstractNumId w:val="21"/>
  </w:num>
  <w:num w:numId="20" w16cid:durableId="1373455292">
    <w:abstractNumId w:val="12"/>
  </w:num>
  <w:num w:numId="21" w16cid:durableId="237516938">
    <w:abstractNumId w:val="19"/>
  </w:num>
  <w:num w:numId="22" w16cid:durableId="1310405169">
    <w:abstractNumId w:val="20"/>
  </w:num>
  <w:num w:numId="23" w16cid:durableId="371074356">
    <w:abstractNumId w:val="18"/>
  </w:num>
  <w:num w:numId="24" w16cid:durableId="1644237694">
    <w:abstractNumId w:val="27"/>
  </w:num>
  <w:num w:numId="25" w16cid:durableId="2052261751">
    <w:abstractNumId w:val="2"/>
  </w:num>
  <w:num w:numId="26" w16cid:durableId="790324164">
    <w:abstractNumId w:val="1"/>
  </w:num>
  <w:num w:numId="27" w16cid:durableId="454563070">
    <w:abstractNumId w:val="5"/>
  </w:num>
  <w:num w:numId="28" w16cid:durableId="140032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D3"/>
    <w:rsid w:val="003C52B8"/>
    <w:rsid w:val="00564781"/>
    <w:rsid w:val="005819D3"/>
    <w:rsid w:val="00586E5F"/>
    <w:rsid w:val="009A4952"/>
    <w:rsid w:val="009F59F9"/>
    <w:rsid w:val="00A957D1"/>
    <w:rsid w:val="00CD5594"/>
    <w:rsid w:val="00DA67DD"/>
    <w:rsid w:val="00F1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F57A"/>
  <w15:docId w15:val="{4ABC2A1D-6823-4962-A93A-94CDEC8C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semiHidden/>
    <w:unhideWhenUsed/>
    <w:rsid w:val="00DA67DD"/>
    <w:rPr>
      <w:sz w:val="16"/>
      <w:szCs w:val="16"/>
    </w:rPr>
  </w:style>
  <w:style w:type="paragraph" w:styleId="CommentText">
    <w:name w:val="annotation text"/>
    <w:basedOn w:val="Normal"/>
    <w:link w:val="CommentTextChar"/>
    <w:uiPriority w:val="99"/>
    <w:unhideWhenUsed/>
    <w:rsid w:val="00DA67DD"/>
    <w:pPr>
      <w:spacing w:line="240" w:lineRule="auto"/>
    </w:pPr>
    <w:rPr>
      <w:sz w:val="20"/>
      <w:szCs w:val="20"/>
    </w:rPr>
  </w:style>
  <w:style w:type="character" w:customStyle="1" w:styleId="CommentTextChar">
    <w:name w:val="Comment Text Char"/>
    <w:basedOn w:val="DefaultParagraphFont"/>
    <w:link w:val="CommentText"/>
    <w:uiPriority w:val="99"/>
    <w:rsid w:val="00DA67DD"/>
    <w:rPr>
      <w:sz w:val="20"/>
      <w:szCs w:val="20"/>
    </w:rPr>
  </w:style>
  <w:style w:type="paragraph" w:styleId="CommentSubject">
    <w:name w:val="annotation subject"/>
    <w:basedOn w:val="CommentText"/>
    <w:next w:val="CommentText"/>
    <w:link w:val="CommentSubjectChar"/>
    <w:uiPriority w:val="99"/>
    <w:semiHidden/>
    <w:unhideWhenUsed/>
    <w:rsid w:val="00DA67DD"/>
    <w:rPr>
      <w:b/>
      <w:bCs/>
    </w:rPr>
  </w:style>
  <w:style w:type="character" w:customStyle="1" w:styleId="CommentSubjectChar">
    <w:name w:val="Comment Subject Char"/>
    <w:basedOn w:val="CommentTextChar"/>
    <w:link w:val="CommentSubject"/>
    <w:uiPriority w:val="99"/>
    <w:semiHidden/>
    <w:rsid w:val="00DA67DD"/>
    <w:rPr>
      <w:b/>
      <w:bCs/>
      <w:sz w:val="20"/>
      <w:szCs w:val="20"/>
    </w:rPr>
  </w:style>
  <w:style w:type="character" w:styleId="FollowedHyperlink">
    <w:name w:val="FollowedHyperlink"/>
    <w:basedOn w:val="DefaultParagraphFont"/>
    <w:uiPriority w:val="99"/>
    <w:semiHidden/>
    <w:unhideWhenUsed/>
    <w:rsid w:val="00DA67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cpe.ac.uk/college/privacy-notice" TargetMode="External"/><Relationship Id="rId4" Type="http://schemas.openxmlformats.org/officeDocument/2006/relationships/webSettings" Target="webSettings.xml"/><Relationship Id="rId9" Type="http://schemas.openxmlformats.org/officeDocument/2006/relationships/hyperlink" Target="https://www.gov.uk/foreign-travel-advice/malaysia/entry-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5117</Characters>
  <Application>Microsoft Office Word</Application>
  <DocSecurity>4</DocSecurity>
  <Lines>127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McGlynn</dc:creator>
  <dc:description/>
  <cp:lastModifiedBy>Shona McGlynn</cp:lastModifiedBy>
  <cp:revision>2</cp:revision>
  <dcterms:created xsi:type="dcterms:W3CDTF">2025-12-10T13:16:00Z</dcterms:created>
  <dcterms:modified xsi:type="dcterms:W3CDTF">2025-12-10T13:16:00Z</dcterms:modified>
</cp:coreProperties>
</file>